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400pt; height:51.313755795981pt; margin-left:0pt; margin-top:0pt; mso-position-horizontal:left; mso-position-vertical:top; mso-position-horizontal-relative:char; mso-position-vertical-relative:line;">
            <w10:wrap type="inline"/>
            <v:imagedata r:id="rId7" o:title=""/>
          </v:shape>
        </w:pict>
      </w:r>
    </w:p>
    <w:p>
      <w:pPr>
        <w:pStyle w:val="pStyle"/>
      </w:pPr>
      <w:r>
        <w:rPr>
          <w:rFonts w:ascii="微软雅黑" w:hAnsi="微软雅黑" w:eastAsia="微软雅黑" w:cs="微软雅黑"/>
          <w:sz w:val="24"/>
          <w:szCs w:val="24"/>
          <w:b/>
          <w:bCs/>
        </w:rPr>
        <w:t xml:space="preserve">湖州龙之梦动物世界+图影湿地2 日（五一）行程单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493271</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舟山市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湖州市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2</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汽车</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汽车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这里您可以充分领悟乡村的宁静与美好，能感受到自然与蓝天、山野、田野，与溪水同呼吸共命运。在这里，能感受到漂流的极限与刺激，河流全程2公里，约一小时。沿途曲折迂回，时而飞流直下、一泄千里；时而坠入深潭、天光云影、随筏荡漾。一路行程，两岸风光旖旎、水面野鸭伏鹜、水底鱼虾助兴，水草伴随着皮筏摇曳。正所谓一路行程一路景，田园风光横趣生。漂流之程有多长 ，快乐之心有多远。</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浙江湖州“湖滨国际花园，欧洲风情小镇”美誉的湖州太湖旅游度假区</w:t>
            </w:r>
          </w:p>
        </w:tc>
      </w:tr>
    </w:tbl>
    <w:p>
      <w:pPr>
        <w:jc w:val="left"/>
        <w:spacing w:before="10" w:after="10"/>
      </w:pPr>
      <w:r>
        <w:rPr>
          <w:rFonts w:ascii="微软雅黑" w:hAnsi="微软雅黑" w:eastAsia="微软雅黑" w:cs="微软雅黑"/>
          <w:sz w:val="22"/>
          <w:szCs w:val="22"/>
          <w:b/>
          <w:bCs/>
        </w:rPr>
        <w:t xml:space="preserve">行程安排</w:t>
      </w:r>
    </w:p>
    <w:tbl>
      <w:tblGrid>
        <w:gridCol w:w="10500" w:type="dxa"/>
      </w:tblGrid>
      <w:tblPr>
        <w:tblStyle w:val="lineSchedulings"/>
      </w:tblPr>
      <w:tr>
        <w:trPr/>
        <w:tc>
          <w:tcPr>
            <w:tcW w:w="10500" w:type="dxa"/>
            <w:vAlign w:val="center"/>
            <w:shd w:val="clear" w:fill="efefef"/>
          </w:tcPr>
          <w:p>
            <w:pPr>
              <w:pStyle w:val="center"/>
            </w:pPr>
            <w:r>
              <w:rPr>
                <w:rFonts w:ascii="微软雅黑" w:hAnsi="微软雅黑" w:eastAsia="微软雅黑" w:cs="微软雅黑"/>
                <w:color w:val="000000"/>
                <w:sz w:val="20"/>
                <w:szCs w:val="20"/>
                <w:b/>
                <w:bCs/>
              </w:rPr>
              <w:t xml:space="preserve">行程详情</w:t>
            </w:r>
          </w:p>
        </w:tc>
      </w:tr>
      <w:tr>
        <w:trPr/>
        <w:tc>
          <w:tcPr>
            <w:tcW w:w="10500" w:type="dxa"/>
          </w:tcPr>
          <w:p>
            <w:pPr>
              <w:pStyle w:val="indent"/>
            </w:pPr>
            <w:r>
              <w:rPr>
                <w:rFonts w:ascii="微软雅黑" w:hAnsi="微软雅黑" w:eastAsia="微软雅黑" w:cs="微软雅黑"/>
                <w:color w:val="000000"/>
                <w:sz w:val="20"/>
                <w:szCs w:val="20"/>
              </w:rPr>
              <w:t xml:space="preserve">
                二、行程安排 ：
                <w:br/>
                日期
                <w:br/>
                活动安排
                <w:br/>
                用餐
                <w:br/>
                住宿
                <w:br/>
                D1
                <w:br/>
                舟山--湖州
                <w:br/>
                 早上06:30东港海中洲大酒店，06:50临城银泰公交站牌，07:10定海海洋大学集合出发。车赴湖州。
                <w:br/>
                抵达后游览【龙之梦动物世界】，占地面积1600亩，分车行区和步行区（含步行区），目前已经到位的动物有200余种，10000余头只，各类珍稀动物，精彩的科普大讲堂，近距离感受投喂小动物，其中还有各种儿童游乐项目让你体验。
                <w:br/>
                晚上可自费参加【龙之梦国际大马戏】（演出时间以当天景区公告为准）（自理挂牌价380元/人），拥有全世界超大实景式马戏专业舞台，近万个观众席位，汇聚20多个国家，横跨亚欧美非四大洲300余名国际马戏精英同台演绎，更有吉尼斯世界纪录超高的死亡飞轮，270度超感官沉浸式观看，带观众进入一场奇幻大秀《魔镜之旅》
                <w:br/>
                /
                <w:br/>
                龙之梦动物酒店
                <w:br/>
                D2
                <w:br/>
                湖州-舟山
                <w:br/>
                 早餐后游览【图影湿地】太湖龙之梦乐园的核心自然景观，“面朝太湖，三面环山，腹拥湿地”，“依山为图，映水为影”，此乃图影之精妙。是集原生态展示、农耕文化、旅游观光、民俗风情体验、休闲度假于一体的原生态休闲型旅游景区。适时返回
                <w:br/>
                早
              </w:t>
            </w:r>
          </w:p>
        </w:tc>
      </w:tr>
    </w:tbl>
    <w:p>
      <w:pPr>
        <w:jc w:val="left"/>
        <w:spacing w:before="10" w:after="10"/>
      </w:pPr>
      <w:r>
        <w:rPr>
          <w:rFonts w:ascii="微软雅黑" w:hAnsi="微软雅黑" w:eastAsia="微软雅黑" w:cs="微软雅黑"/>
          <w:sz w:val="22"/>
          <w:szCs w:val="22"/>
          <w:b/>
          <w:bCs/>
        </w:rPr>
        <w:t xml:space="preserve">集合站点</w:t>
      </w:r>
    </w:p>
    <w:tbl>
      <w:tblGrid>
        <w:gridCol w:w="2500" w:type="dxa"/>
        <w:gridCol w:w="1000" w:type="dxa"/>
        <w:gridCol w:w="1500" w:type="dxa"/>
        <w:gridCol w:w="1500" w:type="dxa"/>
        <w:gridCol w:w="1000" w:type="dxa"/>
        <w:gridCol w:w="1500" w:type="dxa"/>
        <w:gridCol w:w="1500" w:type="dxa"/>
      </w:tblGrid>
      <w:tblPr>
        <w:tblStyle w:val="lineStationSiteList"/>
      </w:tblPr>
      <w:tr>
        <w:trPr/>
        <w:tc>
          <w:tcPr>
            <w:tcW w:w="2500" w:type="dxa"/>
            <w:vAlign w:val="center"/>
            <w:shd w:val="clear" w:fill="efefef"/>
          </w:tcPr>
          <w:p>
            <w:pPr>
              <w:pStyle w:val="center"/>
            </w:pPr>
            <w:r>
              <w:rPr>
                <w:rFonts w:ascii="微软雅黑" w:hAnsi="微软雅黑" w:eastAsia="微软雅黑" w:cs="微软雅黑"/>
                <w:color w:val="000000"/>
                <w:sz w:val="20"/>
                <w:szCs w:val="20"/>
                <w:b/>
                <w:bCs/>
              </w:rPr>
              <w:t xml:space="preserve">名称</w:t>
            </w:r>
          </w:p>
        </w:tc>
        <w:tc>
          <w:tcPr>
            <w:tcW w:w="1000" w:type="dxa"/>
            <w:vAlign w:val="center"/>
            <w:shd w:val="clear" w:fill="efefef"/>
          </w:tcPr>
          <w:p>
            <w:pPr>
              <w:pStyle w:val="center"/>
            </w:pPr>
            <w:r>
              <w:rPr>
                <w:rFonts w:ascii="微软雅黑" w:hAnsi="微软雅黑" w:eastAsia="微软雅黑" w:cs="微软雅黑"/>
                <w:color w:val="000000"/>
                <w:sz w:val="20"/>
                <w:szCs w:val="20"/>
                <w:b/>
                <w:bCs/>
              </w:rPr>
              <w:t xml:space="preserve">回程</w:t>
            </w:r>
          </w:p>
        </w:tc>
        <w:tc>
          <w:tcPr>
            <w:tcW w:w="1500" w:type="dxa"/>
            <w:vAlign w:val="center"/>
            <w:shd w:val="clear" w:fill="efefef"/>
          </w:tcPr>
          <w:p>
            <w:pPr>
              <w:pStyle w:val="center"/>
            </w:pPr>
            <w:r>
              <w:rPr>
                <w:rFonts w:ascii="微软雅黑" w:hAnsi="微软雅黑" w:eastAsia="微软雅黑" w:cs="微软雅黑"/>
                <w:color w:val="000000"/>
                <w:sz w:val="20"/>
                <w:szCs w:val="20"/>
                <w:b/>
                <w:bCs/>
              </w:rPr>
              <w:t xml:space="preserve">上车时间</w:t>
            </w:r>
          </w:p>
        </w:tc>
        <w:tc>
          <w:tcPr>
            <w:tcW w:w="1500" w:type="dxa"/>
            <w:vAlign w:val="center"/>
            <w:shd w:val="clear" w:fill="efefef"/>
          </w:tcPr>
          <w:p>
            <w:pPr>
              <w:pStyle w:val="center"/>
            </w:pPr>
            <w:r>
              <w:rPr>
                <w:rFonts w:ascii="微软雅黑" w:hAnsi="微软雅黑" w:eastAsia="微软雅黑" w:cs="微软雅黑"/>
                <w:color w:val="000000"/>
                <w:sz w:val="20"/>
                <w:szCs w:val="20"/>
                <w:b/>
                <w:bCs/>
              </w:rPr>
              <w:t xml:space="preserve">单价(元/人)</w:t>
            </w:r>
          </w:p>
        </w:tc>
        <w:tc>
          <w:tcPr>
            <w:tcW w:w="1000" w:type="dxa"/>
            <w:vAlign w:val="center"/>
            <w:shd w:val="clear" w:fill="efefef"/>
          </w:tcPr>
          <w:p>
            <w:pPr>
              <w:pStyle w:val="center"/>
            </w:pPr>
            <w:r>
              <w:rPr>
                <w:rFonts w:ascii="微软雅黑" w:hAnsi="微软雅黑" w:eastAsia="微软雅黑" w:cs="微软雅黑"/>
                <w:color w:val="000000"/>
                <w:sz w:val="20"/>
                <w:szCs w:val="20"/>
                <w:b/>
                <w:bCs/>
              </w:rPr>
              <w:t xml:space="preserve">回程</w:t>
            </w:r>
          </w:p>
        </w:tc>
        <w:tc>
          <w:tcPr>
            <w:tcW w:w="1500" w:type="dxa"/>
            <w:vAlign w:val="center"/>
            <w:shd w:val="clear" w:fill="efefef"/>
          </w:tcPr>
          <w:p>
            <w:pPr>
              <w:pStyle w:val="center"/>
            </w:pPr>
            <w:r>
              <w:rPr>
                <w:rFonts w:ascii="微软雅黑" w:hAnsi="微软雅黑" w:eastAsia="微软雅黑" w:cs="微软雅黑"/>
                <w:color w:val="000000"/>
                <w:sz w:val="20"/>
                <w:szCs w:val="20"/>
                <w:b/>
                <w:bCs/>
              </w:rPr>
              <w:t xml:space="preserve">上车时间</w:t>
            </w:r>
          </w:p>
        </w:tc>
        <w:tc>
          <w:tcPr>
            <w:tcW w:w="1500" w:type="dxa"/>
            <w:vAlign w:val="center"/>
            <w:shd w:val="clear" w:fill="efefef"/>
          </w:tcPr>
          <w:p>
            <w:pPr>
              <w:pStyle w:val="center"/>
            </w:pPr>
            <w:r>
              <w:rPr>
                <w:rFonts w:ascii="微软雅黑" w:hAnsi="微软雅黑" w:eastAsia="微软雅黑" w:cs="微软雅黑"/>
                <w:color w:val="000000"/>
                <w:sz w:val="20"/>
                <w:szCs w:val="20"/>
                <w:b/>
                <w:bCs/>
              </w:rPr>
              <w:t xml:space="preserve">单价(元/人)</w:t>
            </w:r>
          </w:p>
        </w:tc>
      </w:tr>
      <w:tr>
        <w:trPr/>
        <w:tc>
          <w:tcPr>
            <w:tcW w:w="2500" w:type="dxa"/>
          </w:tcPr>
          <w:p>
            <w:pPr>
              <w:pStyle w:val="center"/>
            </w:pPr>
            <w:r>
              <w:rPr>
                <w:rFonts w:ascii="微软雅黑" w:hAnsi="微软雅黑" w:eastAsia="微软雅黑" w:cs="微软雅黑"/>
                <w:color w:val="000000"/>
                <w:sz w:val="20"/>
                <w:szCs w:val="20"/>
                <w:b/>
                <w:bCs/>
              </w:rPr>
              <w:t xml:space="preserve">普陀东港图书馆站牌</w:t>
            </w:r>
          </w:p>
        </w:tc>
        <w:tc>
          <w:tcPr>
            <w:tcW w:w="1000" w:type="dxa"/>
          </w:tcPr>
          <w:p>
            <w:pPr>
              <w:pStyle w:val="center"/>
            </w:pPr>
            <w:r>
              <w:rPr>
                <w:rFonts w:ascii="微软雅黑" w:hAnsi="微软雅黑" w:eastAsia="微软雅黑" w:cs="微软雅黑"/>
                <w:color w:val="000000"/>
                <w:sz w:val="20"/>
                <w:szCs w:val="20"/>
                <w:b/>
                <w:bCs/>
              </w:rPr>
              <w:t xml:space="preserve">√</w:t>
            </w:r>
          </w:p>
        </w:tc>
        <w:tc>
          <w:tcPr>
            <w:tcW w:w="1500" w:type="dxa"/>
          </w:tcPr>
          <w:p>
            <w:pPr>
              <w:pStyle w:val="center"/>
            </w:pPr>
            <w:r>
              <w:rPr>
                <w:rFonts w:ascii="微软雅黑" w:hAnsi="微软雅黑" w:eastAsia="微软雅黑" w:cs="微软雅黑"/>
                <w:color w:val="000000"/>
                <w:sz w:val="20"/>
                <w:szCs w:val="20"/>
                <w:b/>
                <w:bCs/>
              </w:rPr>
              <w:t xml:space="preserve">06:50</w:t>
            </w:r>
          </w:p>
        </w:tc>
        <w:tc>
          <w:tcPr>
            <w:tcW w:w="1500" w:type="dxa"/>
          </w:tcPr>
          <w:p>
            <w:pPr>
              <w:pStyle w:val="center"/>
            </w:pPr>
            <w:r>
              <w:rPr>
                <w:rFonts w:ascii="微软雅黑" w:hAnsi="微软雅黑" w:eastAsia="微软雅黑" w:cs="微软雅黑"/>
                <w:color w:val="000000"/>
                <w:sz w:val="20"/>
                <w:szCs w:val="20"/>
                <w:b/>
                <w:bCs/>
              </w:rPr>
              <w:t xml:space="preserve">0</w:t>
            </w:r>
          </w:p>
        </w:tc>
        <w:tc>
          <w:tcPr>
            <w:tcW w:w="1000" w:type="dxa"/>
          </w:tcPr>
          <w:p>
            <w:pPr>
              <w:pStyle w:val="center"/>
            </w:pPr>
            <w:r>
              <w:rPr>
                <w:rFonts w:ascii="微软雅黑" w:hAnsi="微软雅黑" w:eastAsia="微软雅黑" w:cs="微软雅黑"/>
                <w:color w:val="000000"/>
                <w:sz w:val="20"/>
                <w:szCs w:val="20"/>
                <w:b/>
                <w:bCs/>
              </w:rPr>
              <w:t xml:space="preserve">√</w:t>
            </w:r>
          </w:p>
        </w:tc>
        <w:tc>
          <w:tcPr>
            <w:tcW w:w="1500" w:type="dxa"/>
          </w:tcPr>
          <w:p>
            <w:pPr>
              <w:pStyle w:val="center"/>
            </w:pPr>
            <w:r>
              <w:rPr>
                <w:rFonts w:ascii="微软雅黑" w:hAnsi="微软雅黑" w:eastAsia="微软雅黑" w:cs="微软雅黑"/>
                <w:color w:val="000000"/>
                <w:sz w:val="20"/>
                <w:szCs w:val="20"/>
                <w:b/>
                <w:bCs/>
              </w:rPr>
              <w:t xml:space="preserve"/>
            </w:r>
          </w:p>
        </w:tc>
        <w:tc>
          <w:tcPr>
            <w:tcW w:w="1500" w:type="dxa"/>
          </w:tcPr>
          <w:p>
            <w:pPr>
              <w:pStyle w:val="center"/>
            </w:pPr>
            <w:r>
              <w:rPr>
                <w:rFonts w:ascii="微软雅黑" w:hAnsi="微软雅黑" w:eastAsia="微软雅黑" w:cs="微软雅黑"/>
                <w:color w:val="000000"/>
                <w:sz w:val="20"/>
                <w:szCs w:val="20"/>
                <w:b/>
                <w:bCs/>
              </w:rPr>
              <w:t xml:space="preserve">0</w:t>
            </w:r>
          </w:p>
        </w:tc>
      </w:tr>
      <w:tr>
        <w:trPr/>
        <w:tc>
          <w:tcPr>
            <w:tcW w:w="2500" w:type="dxa"/>
          </w:tcPr>
          <w:p>
            <w:pPr>
              <w:pStyle w:val="center"/>
            </w:pPr>
            <w:r>
              <w:rPr>
                <w:rFonts w:ascii="微软雅黑" w:hAnsi="微软雅黑" w:eastAsia="微软雅黑" w:cs="微软雅黑"/>
                <w:color w:val="000000"/>
                <w:sz w:val="20"/>
                <w:szCs w:val="20"/>
                <w:b/>
                <w:bCs/>
              </w:rPr>
              <w:t xml:space="preserve">临城银泰南大门</w:t>
            </w:r>
          </w:p>
        </w:tc>
        <w:tc>
          <w:tcPr>
            <w:tcW w:w="1000" w:type="dxa"/>
          </w:tcPr>
          <w:p>
            <w:pPr>
              <w:pStyle w:val="center"/>
            </w:pPr>
            <w:r>
              <w:rPr>
                <w:rFonts w:ascii="微软雅黑" w:hAnsi="微软雅黑" w:eastAsia="微软雅黑" w:cs="微软雅黑"/>
                <w:color w:val="000000"/>
                <w:sz w:val="20"/>
                <w:szCs w:val="20"/>
                <w:b/>
                <w:bCs/>
              </w:rPr>
              <w:t xml:space="preserve">√</w:t>
            </w:r>
          </w:p>
        </w:tc>
        <w:tc>
          <w:tcPr>
            <w:tcW w:w="1500" w:type="dxa"/>
          </w:tcPr>
          <w:p>
            <w:pPr>
              <w:pStyle w:val="center"/>
            </w:pPr>
            <w:r>
              <w:rPr>
                <w:rFonts w:ascii="微软雅黑" w:hAnsi="微软雅黑" w:eastAsia="微软雅黑" w:cs="微软雅黑"/>
                <w:color w:val="000000"/>
                <w:sz w:val="20"/>
                <w:szCs w:val="20"/>
                <w:b/>
                <w:bCs/>
              </w:rPr>
              <w:t xml:space="preserve">07:10</w:t>
            </w:r>
          </w:p>
        </w:tc>
        <w:tc>
          <w:tcPr>
            <w:tcW w:w="1500" w:type="dxa"/>
          </w:tcPr>
          <w:p>
            <w:pPr>
              <w:pStyle w:val="center"/>
            </w:pPr>
            <w:r>
              <w:rPr>
                <w:rFonts w:ascii="微软雅黑" w:hAnsi="微软雅黑" w:eastAsia="微软雅黑" w:cs="微软雅黑"/>
                <w:color w:val="000000"/>
                <w:sz w:val="20"/>
                <w:szCs w:val="20"/>
                <w:b/>
                <w:bCs/>
              </w:rPr>
              <w:t xml:space="preserve">0</w:t>
            </w:r>
          </w:p>
        </w:tc>
        <w:tc>
          <w:tcPr>
            <w:tcW w:w="1000" w:type="dxa"/>
          </w:tcPr>
          <w:p>
            <w:pPr>
              <w:pStyle w:val="center"/>
            </w:pPr>
            <w:r>
              <w:rPr>
                <w:rFonts w:ascii="微软雅黑" w:hAnsi="微软雅黑" w:eastAsia="微软雅黑" w:cs="微软雅黑"/>
                <w:color w:val="000000"/>
                <w:sz w:val="20"/>
                <w:szCs w:val="20"/>
                <w:b/>
                <w:bCs/>
              </w:rPr>
              <w:t xml:space="preserve">√</w:t>
            </w:r>
          </w:p>
        </w:tc>
        <w:tc>
          <w:tcPr>
            <w:tcW w:w="1500" w:type="dxa"/>
          </w:tcPr>
          <w:p>
            <w:pPr>
              <w:pStyle w:val="center"/>
            </w:pPr>
            <w:r>
              <w:rPr>
                <w:rFonts w:ascii="微软雅黑" w:hAnsi="微软雅黑" w:eastAsia="微软雅黑" w:cs="微软雅黑"/>
                <w:color w:val="000000"/>
                <w:sz w:val="20"/>
                <w:szCs w:val="20"/>
                <w:b/>
                <w:bCs/>
              </w:rPr>
              <w:t xml:space="preserve"/>
            </w:r>
          </w:p>
        </w:tc>
        <w:tc>
          <w:tcPr>
            <w:tcW w:w="1500" w:type="dxa"/>
          </w:tcPr>
          <w:p>
            <w:pPr>
              <w:pStyle w:val="center"/>
            </w:pPr>
            <w:r>
              <w:rPr>
                <w:rFonts w:ascii="微软雅黑" w:hAnsi="微软雅黑" w:eastAsia="微软雅黑" w:cs="微软雅黑"/>
                <w:color w:val="000000"/>
                <w:sz w:val="20"/>
                <w:szCs w:val="20"/>
                <w:b/>
                <w:bCs/>
              </w:rPr>
              <w:t xml:space="preserve">0</w:t>
            </w:r>
          </w:p>
        </w:tc>
      </w:tr>
      <w:tr>
        <w:trPr/>
        <w:tc>
          <w:tcPr>
            <w:tcW w:w="2500" w:type="dxa"/>
          </w:tcPr>
          <w:p>
            <w:pPr>
              <w:pStyle w:val="center"/>
            </w:pPr>
            <w:r>
              <w:rPr>
                <w:rFonts w:ascii="微软雅黑" w:hAnsi="微软雅黑" w:eastAsia="微软雅黑" w:cs="微软雅黑"/>
                <w:color w:val="000000"/>
                <w:sz w:val="20"/>
                <w:szCs w:val="20"/>
                <w:b/>
                <w:bCs/>
              </w:rPr>
              <w:t xml:space="preserve">定海海洋大学南门（城市新境北门）</w:t>
            </w:r>
          </w:p>
        </w:tc>
        <w:tc>
          <w:tcPr>
            <w:tcW w:w="1000" w:type="dxa"/>
          </w:tcPr>
          <w:p>
            <w:pPr>
              <w:pStyle w:val="center"/>
            </w:pPr>
            <w:r>
              <w:rPr>
                <w:rFonts w:ascii="微软雅黑" w:hAnsi="微软雅黑" w:eastAsia="微软雅黑" w:cs="微软雅黑"/>
                <w:color w:val="000000"/>
                <w:sz w:val="20"/>
                <w:szCs w:val="20"/>
                <w:b/>
                <w:bCs/>
              </w:rPr>
              <w:t xml:space="preserve">√</w:t>
            </w:r>
          </w:p>
        </w:tc>
        <w:tc>
          <w:tcPr>
            <w:tcW w:w="1500" w:type="dxa"/>
          </w:tcPr>
          <w:p>
            <w:pPr>
              <w:pStyle w:val="center"/>
            </w:pPr>
            <w:r>
              <w:rPr>
                <w:rFonts w:ascii="微软雅黑" w:hAnsi="微软雅黑" w:eastAsia="微软雅黑" w:cs="微软雅黑"/>
                <w:color w:val="000000"/>
                <w:sz w:val="20"/>
                <w:szCs w:val="20"/>
                <w:b/>
                <w:bCs/>
              </w:rPr>
              <w:t xml:space="preserve">07:30</w:t>
            </w:r>
          </w:p>
        </w:tc>
        <w:tc>
          <w:tcPr>
            <w:tcW w:w="1500" w:type="dxa"/>
          </w:tcPr>
          <w:p>
            <w:pPr>
              <w:pStyle w:val="center"/>
            </w:pPr>
            <w:r>
              <w:rPr>
                <w:rFonts w:ascii="微软雅黑" w:hAnsi="微软雅黑" w:eastAsia="微软雅黑" w:cs="微软雅黑"/>
                <w:color w:val="000000"/>
                <w:sz w:val="20"/>
                <w:szCs w:val="20"/>
                <w:b/>
                <w:bCs/>
              </w:rPr>
              <w:t xml:space="preserve">0</w:t>
            </w:r>
          </w:p>
        </w:tc>
        <w:tc>
          <w:tcPr>
            <w:tcW w:w="1000" w:type="dxa"/>
          </w:tcPr>
          <w:p>
            <w:pPr>
              <w:pStyle w:val="center"/>
            </w:pPr>
            <w:r>
              <w:rPr>
                <w:rFonts w:ascii="微软雅黑" w:hAnsi="微软雅黑" w:eastAsia="微软雅黑" w:cs="微软雅黑"/>
                <w:color w:val="000000"/>
                <w:sz w:val="20"/>
                <w:szCs w:val="20"/>
                <w:b/>
                <w:bCs/>
              </w:rPr>
              <w:t xml:space="preserve">√</w:t>
            </w:r>
          </w:p>
        </w:tc>
        <w:tc>
          <w:tcPr>
            <w:tcW w:w="1500" w:type="dxa"/>
          </w:tcPr>
          <w:p>
            <w:pPr>
              <w:pStyle w:val="center"/>
            </w:pPr>
            <w:r>
              <w:rPr>
                <w:rFonts w:ascii="微软雅黑" w:hAnsi="微软雅黑" w:eastAsia="微软雅黑" w:cs="微软雅黑"/>
                <w:color w:val="000000"/>
                <w:sz w:val="20"/>
                <w:szCs w:val="20"/>
                <w:b/>
                <w:bCs/>
              </w:rPr>
              <w:t xml:space="preserve"/>
            </w:r>
          </w:p>
        </w:tc>
        <w:tc>
          <w:tcPr>
            <w:tcW w:w="1500" w:type="dxa"/>
          </w:tcPr>
          <w:p>
            <w:pPr>
              <w:pStyle w:val="center"/>
            </w:pPr>
            <w:r>
              <w:rPr>
                <w:rFonts w:ascii="微软雅黑" w:hAnsi="微软雅黑" w:eastAsia="微软雅黑" w:cs="微软雅黑"/>
                <w:color w:val="000000"/>
                <w:sz w:val="20"/>
                <w:szCs w:val="20"/>
                <w:b/>
                <w:bCs/>
              </w:rPr>
              <w:t xml:space="preserve">0</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费用包含	门票	行程中所列景点首道门票，自理景点除外
                <w:br/>
                	住宿	酒店标准房，出现单男单女需补房差400元/人
                <w:br/>
                	用餐	酒店含一早餐，其余自理，不占床早餐自理
                <w:br/>
                	交通	全程空调旅游车，保证一人一座
                <w:br/>
                	导游	我社导游全程陪同服务
                <w:br/>
                	保险	含旅行社责任险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费用不含	保险	不含旅游意外险，建议自理
                <w:br/>
                	用餐	需要自理。
                <w:br/>
                	单房差	出现单男单女需补房差400/人
                <w:br/>
                	请您在预订时务必提供准确、完整的信息（姓名、性别、证件号码、国籍、联系方式、是否成人或儿童等），以免产生预订错误，影响出行。如因客人提供错误个人信息而造成损失，应由客人自行承担因此产生的全部损失。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1.请各位游客带好有效身份证件，儿童带上户口本（或市民卡），请带好口罩，出游期间，请注意个人防护；
                <w:br/>
                2.上车地点及时间：请游客准时到达集合地点，过时不候。迟到者做自动退团处理，费用不退；
                <w:br/>
                3、游客如出现退团，按出团前 7 个工作日，收取 10%团费；出团前 72 小时前，收取 30%团费；出团前 72 小时内，收取 80%团费。
                <w:br/>
                4、如对当地接待有异议，可同当地协调，协调无果，请服从当地接待旅行社安排，待团队回舟山后由组团社协调处理。
                <w:br/>
                5、合同法有规定：如合同履行中出现争议，双方应将损失控制到最低点，如单方面扩大的损失，由扩大损失方承担。
                <w:br/>
                6、出门旅游安全第一，保管好自已财物和自身安全，个人贵重物品请随时携带，注意妥善保管，勿留车内。
                <w:br/>
                7、出发后记好车牌及导游联系方式，必须遵守规定时间、地点集合，配合导游安排。
                <w:br/>
                8、行程游览时间不包括排队等候时间。
                <w:br/>
                9、此团为散客拼团，最低成团人数 30 人，人数不足组团社有权取消发班不做赔偿，团款全额退还，或者可延到到下期出行，费用不变。
                <w:br/>
                10、旅游费用需在报名时一次性交清。
                <w:br/>
                11、团队包价门票按团队优惠价计算，中若有个别老年人、教师、学生均无法享受优惠，门票一律不退，报名时请注意。
                <w:br/>
                12、儿童 1.2-1.5 米如果不占床，酒店前台现补动物园门票 200 元/人，早餐前台现补约 30 元/人，大马戏票 1 米以上报名时支付 280 元/人
                <w:br/>
                13、根据《旅游法》规定，60 周岁以上老年人参团需与旅行社签订《安全责任书》，70 周岁以上另需提供《健康证明》，75 岁以上还需
                <w:br/>
                成年家属陪同；80 周岁以上人群、心脏病、癫痫/小儿麻痹症，及有听力视力障碍者、身体残疾行动不便者、有精神疾病无行为控制能
                <w:br/>
                力者及孕妇，恕不能参团，望请谅解。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安全提示：
                <w:br/>
                （一）乘车（机、船）安全事项
                <w:br/>
                1、游客在机、车、船停稳后方可上下机、车、船。并按机场、车站、港口安全管理规定或指示标志通行及排队
                <w:br/>
                上下机、车、船；要讲究文明礼貌，先照顾老人、儿童、妇女；切勿拥挤，以免发生意外。请勿携带违禁物品。
                <w:br/>
                2、在机、车、船临时停靠期间，服从服务人员安排，请勿远离。
                <w:br/>
                3、游客在乘车途中，请不要与司机交谈和催促司机开快车，违章超速和超车行驶；不要将头、手、脚或行李物
                <w:br/>
                品伸出窗外，以防意外发生。
                <w:br/>
                4、游客下车游览、就餐、购物时，请注意关好旅游车窗，拿完自己随身携带的贵重物品；否则出现遗失被盗旅
                <w:br/>
                行社概不负责。
                <w:br/>
                （二）饮食卫生安全事项
                <w:br/>
                1、在旅游地购买食物需注意商品质量，发现食物不卫生或有异味变质的情况，切勿食用。
                <w:br/>
                2、不要接受和食用陌生人赠送的香烟、食物和饮品，防止他人暗算和失窃。
                <w:br/>
                3、旅游期间要合理饮食，不要暴饮、暴食或贪食。
                <w:br/>
                4、为防止在旅途中水土不服，游客应自备一些常用药品以备不时之需。切勿随意服用他人所提供之药品。
                <w:br/>
                5、旅行社不提倡、不安排饮酒，并对游客因饮酒发生的意外不承担责任。喜欢喝酒的游客在旅途中应严格控制
                <w:br/>
                自己的酒量，饮酒时最好不超过本人平时的三分之一；若出现酗酒闹事、扰乱社会秩序、侵害他人权益以及造成
                <w:br/>
                自身损害的一切责任由肇事者承担。
                <w:br/>
                （三）游览观景安全事项
                <w:br/>
                1、严格遵守景区游览安全规定，听取当地导游有关安全的提示和忠告，主要应预防意外事故和突发性疾病的发
                <w:br/>
                生。
                <w:br/>
                2、游览期间游客应三两成群，不要独行。如果迷失方向，原则上应原地等候导游的到来或打电话求救、求助，
                <w:br/>
                千万不要着急。自由活动期间游客不要走的太远。带未成年人的游客，请认真履行监护责任，管好自己的孩子，
                <w:br/>
                不能让未成年人单独行动，并注意安全。
                <w:br/>
                3、在旅游行程中的自由活动时间，游客应当选择自己能够控制风险的活动项目，并在自己能够控制风险的范围
                <w:br/>
                内活动。旅行社不安排赛车、赛马、攀岩、滑翔、探险性漂流、滑雪、下海、潜水、滑板、跳伞、热气球、蹦极、
                <w:br/>
                冲浪、跳伞等高风险活动，也敬请游客在旅游中的自由活动期间尽量不要去参加这些活动，如若游客坚持参与，
                <w:br/>
                请自行承担风险。
                <w:br/>
                （四）其他安全注意事项
                <w:br/>
                1、注意听从导游的安排，记住集中的时间和地点；认清自己所乘坐的车型、车牌号及颜色；不要迟到，因迟到
                <w:br/>
                造成的后果由个人负责。
                <w:br/>
                2、在旅游活动中，为了防止火灾事故的发生，请不要携带易燃、易爆物品；不要乱扔烟头和火种；遵守各交通
                <w:br/>
                运输部门、酒店等有关安全管理规定及各种法律、法规。
                <w:br/>
                3、游客在旅途中发生人身或财产意外事故时，按有关机构（如交通运输部门、酒店、保险公司、风景区管理单
                <w:br/>
                位）订立的条例或合同规定处理或公安部门查处。本旅行社尽力提供必要的协助。
                <w:br/>
                （五）关于保险
                <w:br/>
                旅行社已经购买旅行社责任险，建议游客自愿购买“旅游者意外伤害保险”，如旅游途中发生意外伤害，我社不
                <w:br/>
                承担赔偿责任也不垫付费用，只负责代为保险公司联络索赔；游客应保留好意外发生后医疗救治的病历和发票等
                <w:br/>
                证据，提供给我社由专人协助办理，旅游意外伤害保险的解释权归保险公司所有。
                <w:br/>
                （六）旅途生病的有关事项
                <w:br/>
                客人若患有重大疾病须提前告知我社。年龄偏长，行动不便的，患有严重老年病等；有可能突发性严重疾病的，
                <w:br/>
                如高血压，心脏病等均不宜参加长途旅游。如有隐瞒实情，后果自负。患高血压、脑溢血的老年朋友应在起床时
                <w:br/>
                注意病情突发，如有身体不适，及时与工作人员联系。客人旅途生病可根据具体情况选择就医方式，病情严重的
                <w:br/>
                应就近送医院诊治，诊治期间公司提供相应服务，但由此产生的一切费用由客人自理。总之因客人自身疾病而引
                <w:br/>
                发的一切问题均由客人自己负全责。
                <w:br/>
                本次长途旅行，时间长、温差大、部分地区海拔高，报名前请仔细阅读相关注意事项。游客在充分了解旅途的辛
                <w:br/>
                苦和行程中医疗条件有限的前提下，确定自己的身体健康状况适合参加本次旅游活动后方可报名参团。因个人既
                <w:br/>
                有病史和身体残障在旅游行程中引起的疾病进一步发作和伤亡，旅行社不承担任何责任，现有的保险公司责任险
                <w:br/>
                和意外险条款中，此种情况也列入保险公司的免赔范围。游客在旅行社签订旅游合同，即视为游客已经了解本次
                <w:br/>
                旅行的辛苦程度和行程中医疗条件有限的前提，并征得专业医生的同意；高龄人士应有家人（或同行伙伴）陪同。
                <w:br/>
                请游客根据自身情况备好常用和急救药品。发生疾病应去医院救治，诊疗费游客自付。
                <w:br/>
                （七）关于离团
                <w:br/>
                游客在旅游期间白天不得离团，如离团视为自动放弃旅游行程，不退团费。且离团期间人身安全和财产安全责任自负。
                <w:br/>
                游客如中途退团，说明情况，并书写退团声明交给导游。
                <w:br/>
                （八）文明旅游，遵守当地民风民俗。遵守当地国家的法律法规。
                <w:br/>
                （九）旅游者健康状况确认
                <w:br/>
                本人报名参加贵社组织的旅游活动。为顺利完成本次旅游行程，现就本人的身体健康状况作出以下确认或承诺：
                <w:br/>
                ①、本次旅游活动的线路，旅行社在与本人订立旅游合同之前，已经就本次旅游活动的行程安排、服务标准、旅
                <w:br/>
                游目的地的地理及气候特征、旅游项目可能存在的风险、旅游意外保险等情况进行了详细的说明和充分的告知。
                <w:br/>
                本人已悉知上述说明和告知的内容。
                <w:br/>
                ②、鉴于本人对上述告知事项的认知，本人确认，本人的身体健康状态适合参加本次旅游，并确认本人身体状况
                <w:br/>
                能够顺利完成本次旅游活动。
                <w:br/>
                ③、旅行社已向本人说明本人的身体状态在此次旅行中可能出现的意外情况，本人充分知悉和理解。本人承诺，
                <w:br/>
                本人自行承担旅游行程中因自身健康原因（各类疾病）导致的意外情况所产生的法律责任。
                <w:br/>
                4.旅游安全是旅游活动的头等大事，搞好旅游安全是本旅行社与全体游客的共同责任。尊敬的游客，为了您和他
                <w:br/>
                人的幸福，请注意旅游安全。祝您旅途愉快！
                <w:br/>
                游客已认真阅读以上内容，了解此行的行程安排.接待标准及注意事项。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如出现退团，按出团前7个工作日，收取5%团费，出团前72小时前，收取30%团费，出团前72小时内，收取80%团费。</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打印日期：2025-05-05</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tationSiteList">
    <w:name w:val="lineStationSiteLi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pn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2025-05-05T18:33:15+08:00</dcterms:created>
  <dcterms:modified xsi:type="dcterms:W3CDTF">2025-05-05T18:33:15+08:00</dcterms:modified>
</cp:coreProperties>
</file>

<file path=docProps/custom.xml><?xml version="1.0" encoding="utf-8"?>
<Properties xmlns="http://schemas.openxmlformats.org/officeDocument/2006/custom-properties" xmlns:vt="http://schemas.openxmlformats.org/officeDocument/2006/docPropsVTypes"/>
</file>