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宁波奉化岩头古村漂流一日游行程单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496508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舟山市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宁波市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刺激漂流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详见行程</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 舟山--宁波（车程不少于2小时）
                <w:br/>
              </w:t>
            </w:r>
          </w:p>
          <w:p>
            <w:pPr>
              <w:pStyle w:val="indent"/>
            </w:pPr>
            <w:r>
              <w:rPr>
                <w:rFonts w:ascii="微软雅黑" w:hAnsi="微软雅黑" w:eastAsia="微软雅黑" w:cs="微软雅黑"/>
                <w:color w:val="000000"/>
                <w:sz w:val="20"/>
                <w:szCs w:val="20"/>
              </w:rPr>
              <w:t xml:space="preserve">
                早上08:30东港区政府东门，08：50临城银泰公交站牌，09:10定海海洋大学集合出发。车赴宁波。
                <w:br/>
                抵达后游览【宁波溪口老街】：逛古街，品美食。后车赴岩头古村景区（创国家AAA级景区）：位于溪口古镇东南，该村始建于初唐。岩头古村村落布局是古朴古香的街区式三进两院四合围式的建筑群，光阴流转，石头长廊，任您陶醉在这诗意村落。
                <w:br/>
                下午参加【岩头古村漂流】：是浙东第一漂，也是宁波历史最悠久的漂流，至今有15年的历史，位于民国第一村——岩头古村。岩头古村漂流有着得天独厚的优势，漂流蜿蜒曲折，惊险刺激又不失休闲趣味。起于溪口东坑电站水口，终于蒋氏发妻毛福梅故居。岩头古村漂流是皮艇漂流，每艇二人。漂流途中，时而飞流直下，一泻千尺；时而堕入深潭，好似洪水侵袭。惊涛骇浪，惊心动 魄的急流险滩，融惊险、刺激、古老、自然于一体。也可以在湖面上划船，景观两岸幽景。通过漂流既能体验到水带来的乐趣，感受大自然气息，同时也能锻炼人与 洪水的搏斗意志，是都市人感受自然，与蓝天、山野、溪水同呼吸的活动方式，有着清肺的功能。漂流中卸下一身的压力，尽情于山水间。
                <w:br/>
                交通：空调旅游车
                <w:br/>
                景点：岩头古村漂流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微软雅黑" w:hAnsi="微软雅黑" w:eastAsia="微软雅黑" w:cs="微软雅黑"/>
                <w:color w:val="000000"/>
                <w:sz w:val="20"/>
                <w:szCs w:val="20"/>
                <w:b/>
                <w:bCs/>
              </w:rPr>
              <w:t xml:space="preserve">名称</w:t>
            </w:r>
          </w:p>
        </w:tc>
        <w:tc>
          <w:tcPr>
            <w:tcW w:w="1000" w:type="dxa"/>
            <w:vAlign w:val="center"/>
            <w:shd w:val="clear" w:fill="efefef"/>
          </w:tcPr>
          <w:p>
            <w:pPr>
              <w:pStyle w:val="center"/>
            </w:pPr>
            <w:r>
              <w:rPr>
                <w:rFonts w:ascii="微软雅黑" w:hAnsi="微软雅黑" w:eastAsia="微软雅黑" w:cs="微软雅黑"/>
                <w:color w:val="000000"/>
                <w:sz w:val="20"/>
                <w:szCs w:val="20"/>
                <w:b/>
                <w:bCs/>
              </w:rPr>
              <w:t xml:space="preserve">回程</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上车时间</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单价(元/人)</w:t>
            </w:r>
          </w:p>
        </w:tc>
        <w:tc>
          <w:tcPr>
            <w:tcW w:w="1000" w:type="dxa"/>
            <w:vAlign w:val="center"/>
            <w:shd w:val="clear" w:fill="efefef"/>
          </w:tcPr>
          <w:p>
            <w:pPr>
              <w:pStyle w:val="center"/>
            </w:pPr>
            <w:r>
              <w:rPr>
                <w:rFonts w:ascii="微软雅黑" w:hAnsi="微软雅黑" w:eastAsia="微软雅黑" w:cs="微软雅黑"/>
                <w:color w:val="000000"/>
                <w:sz w:val="20"/>
                <w:szCs w:val="20"/>
                <w:b/>
                <w:bCs/>
              </w:rPr>
              <w:t xml:space="preserve">回程</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上车时间</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单价(元/人)</w:t>
            </w:r>
          </w:p>
        </w:tc>
      </w:tr>
      <w:tr>
        <w:trPr/>
        <w:tc>
          <w:tcPr>
            <w:tcW w:w="2500" w:type="dxa"/>
          </w:tcPr>
          <w:p>
            <w:pPr>
              <w:pStyle w:val="center"/>
            </w:pPr>
            <w:r>
              <w:rPr>
                <w:rFonts w:ascii="微软雅黑" w:hAnsi="微软雅黑" w:eastAsia="微软雅黑" w:cs="微软雅黑"/>
                <w:color w:val="000000"/>
                <w:sz w:val="20"/>
                <w:szCs w:val="20"/>
                <w:b/>
                <w:bCs/>
              </w:rPr>
              <w:t xml:space="preserve">东港普陀区政府东门</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08:30</w:t>
            </w:r>
          </w:p>
        </w:tc>
        <w:tc>
          <w:tcPr>
            <w:tcW w:w="1500" w:type="dxa"/>
          </w:tcPr>
          <w:p>
            <w:pPr>
              <w:pStyle w:val="center"/>
            </w:pPr>
            <w:r>
              <w:rPr>
                <w:rFonts w:ascii="微软雅黑" w:hAnsi="微软雅黑" w:eastAsia="微软雅黑" w:cs="微软雅黑"/>
                <w:color w:val="000000"/>
                <w:sz w:val="20"/>
                <w:szCs w:val="20"/>
                <w:b/>
                <w:bCs/>
              </w:rPr>
              <w:t xml:space="preserve">0</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
            </w:r>
          </w:p>
        </w:tc>
        <w:tc>
          <w:tcPr>
            <w:tcW w:w="1500" w:type="dxa"/>
          </w:tcPr>
          <w:p>
            <w:pPr>
              <w:pStyle w:val="center"/>
            </w:pPr>
            <w:r>
              <w:rPr>
                <w:rFonts w:ascii="微软雅黑" w:hAnsi="微软雅黑" w:eastAsia="微软雅黑" w:cs="微软雅黑"/>
                <w:color w:val="000000"/>
                <w:sz w:val="20"/>
                <w:szCs w:val="20"/>
                <w:b/>
                <w:bCs/>
              </w:rPr>
              <w:t xml:space="preserve">0</w:t>
            </w:r>
          </w:p>
        </w:tc>
      </w:tr>
      <w:tr>
        <w:trPr/>
        <w:tc>
          <w:tcPr>
            <w:tcW w:w="2500" w:type="dxa"/>
          </w:tcPr>
          <w:p>
            <w:pPr>
              <w:pStyle w:val="center"/>
            </w:pPr>
            <w:r>
              <w:rPr>
                <w:rFonts w:ascii="微软雅黑" w:hAnsi="微软雅黑" w:eastAsia="微软雅黑" w:cs="微软雅黑"/>
                <w:color w:val="000000"/>
                <w:sz w:val="20"/>
                <w:szCs w:val="20"/>
                <w:b/>
                <w:bCs/>
              </w:rPr>
              <w:t xml:space="preserve">临城银泰南大门</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08:50</w:t>
            </w:r>
          </w:p>
        </w:tc>
        <w:tc>
          <w:tcPr>
            <w:tcW w:w="1500" w:type="dxa"/>
          </w:tcPr>
          <w:p>
            <w:pPr>
              <w:pStyle w:val="center"/>
            </w:pPr>
            <w:r>
              <w:rPr>
                <w:rFonts w:ascii="微软雅黑" w:hAnsi="微软雅黑" w:eastAsia="微软雅黑" w:cs="微软雅黑"/>
                <w:color w:val="000000"/>
                <w:sz w:val="20"/>
                <w:szCs w:val="20"/>
                <w:b/>
                <w:bCs/>
              </w:rPr>
              <w:t xml:space="preserve">0</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
            </w:r>
          </w:p>
        </w:tc>
        <w:tc>
          <w:tcPr>
            <w:tcW w:w="1500" w:type="dxa"/>
          </w:tcPr>
          <w:p>
            <w:pPr>
              <w:pStyle w:val="center"/>
            </w:pPr>
            <w:r>
              <w:rPr>
                <w:rFonts w:ascii="微软雅黑" w:hAnsi="微软雅黑" w:eastAsia="微软雅黑" w:cs="微软雅黑"/>
                <w:color w:val="000000"/>
                <w:sz w:val="20"/>
                <w:szCs w:val="20"/>
                <w:b/>
                <w:bCs/>
              </w:rPr>
              <w:t xml:space="preserve">0</w:t>
            </w:r>
          </w:p>
        </w:tc>
      </w:tr>
      <w:tr>
        <w:trPr/>
        <w:tc>
          <w:tcPr>
            <w:tcW w:w="2500" w:type="dxa"/>
          </w:tcPr>
          <w:p>
            <w:pPr>
              <w:pStyle w:val="center"/>
            </w:pPr>
            <w:r>
              <w:rPr>
                <w:rFonts w:ascii="微软雅黑" w:hAnsi="微软雅黑" w:eastAsia="微软雅黑" w:cs="微软雅黑"/>
                <w:color w:val="000000"/>
                <w:sz w:val="20"/>
                <w:szCs w:val="20"/>
                <w:b/>
                <w:bCs/>
              </w:rPr>
              <w:t xml:space="preserve">定海海洋大学南门（城市新境北门）</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09:10</w:t>
            </w:r>
          </w:p>
        </w:tc>
        <w:tc>
          <w:tcPr>
            <w:tcW w:w="1500" w:type="dxa"/>
          </w:tcPr>
          <w:p>
            <w:pPr>
              <w:pStyle w:val="center"/>
            </w:pPr>
            <w:r>
              <w:rPr>
                <w:rFonts w:ascii="微软雅黑" w:hAnsi="微软雅黑" w:eastAsia="微软雅黑" w:cs="微软雅黑"/>
                <w:color w:val="000000"/>
                <w:sz w:val="20"/>
                <w:szCs w:val="20"/>
                <w:b/>
                <w:bCs/>
              </w:rPr>
              <w:t xml:space="preserve">0</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
            </w:r>
          </w:p>
        </w:tc>
        <w:tc>
          <w:tcPr>
            <w:tcW w:w="1500" w:type="dxa"/>
          </w:tcPr>
          <w:p>
            <w:pPr>
              <w:pStyle w:val="center"/>
            </w:pPr>
            <w:r>
              <w:rPr>
                <w:rFonts w:ascii="微软雅黑" w:hAnsi="微软雅黑" w:eastAsia="微软雅黑" w:cs="微软雅黑"/>
                <w:color w:val="000000"/>
                <w:sz w:val="20"/>
                <w:szCs w:val="20"/>
                <w:b/>
                <w:bCs/>
              </w:rPr>
              <w:t xml:space="preserve">0</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1、用车：空调旅游车，保证一人一座。
                <w:br/>
                2、门票：景点首道门票，自理景点除外。
                <w:br/>
                3、用餐：自理。
                <w:br/>
                4、导游：导游全程陪同服务。（漂流段自由活动）
                <w:br/>
                5、保险：含旅行社责任险。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中餐自理</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特别告知：按《旅游法》、《旅行社条例》及本公司的规定，游客出团前应当与本社签订完毕旅游合同，未签订旅游合同的，我社保留单方面终止服务的权利。签字即表示游客已仔细阅读并完全理解本行程单中各个组合部分的内容及含义，并完全同意本条约定的双方的权利和义务。</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出行温馨提示：
                <w:br/>
                一、乘车（机、船）安全事项
                <w:br/>
                1、游客在机、车、船停稳后方可上下机、车、船。并按机场、车站、港口安全管理规定或指示标志通行及排队上下机、车、船；要讲究文明礼貌，先照顾老人、儿童、妇女；切勿拥挤，以免发生意外。请勿携带违禁物品。
                <w:br/>
                2、在机、车、船临时停靠期间，服从服务人员安排，请勿远离。
                <w:br/>
                3、游客在乘车途中，请不要与司机交谈和催促司机开快车，违章超速和超车行驶；不要将头、手、脚或行李物品伸出窗外，以防意外发生。
                <w:br/>
                4、游客下车浏览、就餐、购物时，请注意关好旅游车窗，拿完自己随身携带的贵重物品；否则出现遗失被盗旅行社概不负责。二、饮食卫生安全事项
                <w:br/>
                1、在旅游地购买食物需注意商品质量，发现食物不卫生或有异味变质的情况，切勿食用。
                <w:br/>
                2、不要接受和食用陌生人赠送的香烟、食物和饮品，防止他人暗算和失窃。
                <w:br/>
                3、旅游期间要合理饮食，不要暴饮、暴食或贪食。
                <w:br/>
                4、为防止在旅途中水土不服，游客应自备一些常用药品以备不时之需。切勿随意服用他人所提供之药品。
                <w:br/>
                5、旅行社不提倡、不安排饮酒，并对游客因饮酒发生的意外不承担责任。喜欢喝酒的游客在旅途中应严格控制自己的酒量，饮酒时最好不超过本人平时的三分之一；若出现酗酒闹事、扰乱社会秩序、侵害他人权益以及造成自身损害的一切责任由肇事者承担。
                <w:br/>
                三、游览观景安全事项
                <w:br/>
                1、严格遵守景区游览安全规定，听取当地导游有关安全的提示和忠告，主要应预防意外事故和突发性疾病的发生。
                <w:br/>
                2、浏览期间游客应三两成群，不要独行。如果迷失方向，原则上应原地等候导游的到来或打电话求救、求助，千万不要着急。自由活动期间游客不要走的太远。带未成年人的游客，请认真履行监护责任，管好自己的孩子，不能让未成年人单独行动，并注意安全。
                <w:br/>
                3、在旅游行程中的自由活动时间，游客应当选择自己能够控制风险的活动项目，并在自己能够控制风险的范围内活动。旅行社不安排赛车、赛马、攀岩、滑翔、探险性漂流、滑雪、下海、潜水、滑板、跳伞、热气球、蹦极、冲浪、跳伞等高风险活动，也敬请游客在旅游中的自由活动期间尽量不要去参加这些活动，如若游客坚持参与，请自行承担风险。
                <w:br/>
                四、其他安全注意事项
                <w:br/>
                1、注意听从导游的安排，记住集中的时间和地点；认清自己所乘坐的车型、车牌号及颜色；不要迟到，因迟到造成的后果由个人负责。
                <w:br/>
                2、在旅游活动中，为了防止火灾事故的发生，请不要携带易燃、易爆物品；不要乱扔烟头和火种；遵守各交通运输部门、酒店等有关安全管理规定及各种法律、法规。
                <w:br/>
                3、游客在旅途中发生人身或财产意外事故时，按有关机构（如交通运输部门、酒店、保险公司、风景区管理单位）订立的条例或合同规定处理或公安部门查处。本旅行社尽力提供必要的协助。
                <w:br/>
                4.旅游安全是旅游活动的头等大事，搞好旅游安全是本旅行社与全体游客的共同责任。尊敬的游客，为了您和他人的幸福，请注意旅游安全。祝您旅途愉快！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1.订单一经确认后，如遇特殊情况要变更名单，更名手续费20元/人。
                <w:br/>
                2.如出现退团，按出团前72小时收取40%团费，出团前24～72小时收取60%团费，出团前24小时内收取80%团费。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2025-10-10T11:41:59+08:00</dcterms:created>
  <dcterms:modified xsi:type="dcterms:W3CDTF">2025-10-10T11:41:59+08:00</dcterms:modified>
</cp:coreProperties>
</file>

<file path=docProps/custom.xml><?xml version="1.0" encoding="utf-8"?>
<Properties xmlns="http://schemas.openxmlformats.org/officeDocument/2006/custom-properties" xmlns:vt="http://schemas.openxmlformats.org/officeDocument/2006/docPropsVTypes"/>
</file>